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58EF" w:rsidRPr="00E10638" w:rsidRDefault="008858EF" w:rsidP="008858EF">
      <w:pPr>
        <w:rPr>
          <w:rFonts w:eastAsiaTheme="minorHAnsi"/>
          <w:b/>
          <w:bCs/>
          <w:color w:val="373B41"/>
        </w:rPr>
      </w:pPr>
      <w:r w:rsidRPr="00E10638">
        <w:rPr>
          <w:rFonts w:eastAsiaTheme="minorHAnsi"/>
          <w:b/>
          <w:bCs/>
          <w:color w:val="373B41"/>
        </w:rPr>
        <w:t>Walking Foot Quilting – take the scenic route</w:t>
      </w:r>
    </w:p>
    <w:p w:rsidR="008858EF" w:rsidRDefault="008858EF" w:rsidP="008858EF">
      <w:pPr>
        <w:rPr>
          <w:rFonts w:eastAsiaTheme="minorHAnsi"/>
          <w:color w:val="373B41"/>
        </w:rPr>
      </w:pPr>
    </w:p>
    <w:p w:rsidR="008858EF" w:rsidRDefault="008858EF" w:rsidP="008858EF">
      <w:pPr>
        <w:rPr>
          <w:rFonts w:eastAsiaTheme="minorHAnsi"/>
          <w:color w:val="373B41"/>
        </w:rPr>
      </w:pPr>
      <w:r>
        <w:rPr>
          <w:rFonts w:eastAsiaTheme="minorHAnsi"/>
          <w:color w:val="373B41"/>
        </w:rPr>
        <w:t>Catherine combines her two loves in one class!  Add hand stitching to your walking foot quilting for maximum impact. Make samples of different machine stitched grids and hand embroidery combinations that will have you planning your quilting before you even start piecing your quilt top.</w:t>
      </w:r>
    </w:p>
    <w:p w:rsidR="008858EF" w:rsidRDefault="008858EF" w:rsidP="008858EF">
      <w:pPr>
        <w:rPr>
          <w:rFonts w:eastAsiaTheme="minorHAnsi"/>
          <w:color w:val="373B41"/>
        </w:rPr>
      </w:pPr>
      <w:r>
        <w:rPr>
          <w:rFonts w:eastAsiaTheme="minorHAnsi"/>
          <w:color w:val="373B41"/>
        </w:rPr>
        <w:t>This class is suitable for anyone who wants some fresh ideas for finishing their quilts. Novices and experienced quilters are all welcome and will leave class inspired to get their quilt tops made into quilts.</w:t>
      </w:r>
    </w:p>
    <w:p w:rsidR="008858EF" w:rsidRDefault="008858EF" w:rsidP="008858EF">
      <w:pPr>
        <w:rPr>
          <w:rFonts w:eastAsiaTheme="minorHAnsi"/>
          <w:color w:val="373B41"/>
        </w:rPr>
      </w:pPr>
    </w:p>
    <w:p w:rsidR="008858EF" w:rsidRDefault="008858EF" w:rsidP="008858EF">
      <w:pPr>
        <w:autoSpaceDE w:val="0"/>
        <w:autoSpaceDN w:val="0"/>
        <w:adjustRightInd w:val="0"/>
        <w:rPr>
          <w:rFonts w:eastAsiaTheme="minorHAnsi"/>
          <w:color w:val="373B41"/>
        </w:rPr>
      </w:pPr>
      <w:r>
        <w:rPr>
          <w:rFonts w:eastAsiaTheme="minorHAnsi"/>
          <w:color w:val="373B41"/>
        </w:rPr>
        <w:t>Supply list</w:t>
      </w:r>
    </w:p>
    <w:p w:rsidR="008858EF" w:rsidRDefault="008858EF" w:rsidP="008858EF">
      <w:pPr>
        <w:autoSpaceDE w:val="0"/>
        <w:autoSpaceDN w:val="0"/>
        <w:adjustRightInd w:val="0"/>
        <w:rPr>
          <w:rFonts w:eastAsiaTheme="minorHAnsi"/>
          <w:color w:val="373B41"/>
        </w:rPr>
      </w:pPr>
    </w:p>
    <w:p w:rsidR="008858EF" w:rsidRPr="007804AB" w:rsidRDefault="008858EF" w:rsidP="008858EF">
      <w:pPr>
        <w:autoSpaceDE w:val="0"/>
        <w:autoSpaceDN w:val="0"/>
        <w:adjustRightInd w:val="0"/>
        <w:rPr>
          <w:rFonts w:cstheme="minorHAnsi"/>
          <w:color w:val="000000" w:themeColor="text1"/>
        </w:rPr>
      </w:pPr>
      <w:r w:rsidRPr="007804AB">
        <w:rPr>
          <w:rFonts w:cstheme="minorHAnsi"/>
          <w:color w:val="000000" w:themeColor="text1"/>
        </w:rPr>
        <w:t>Materials:</w:t>
      </w:r>
    </w:p>
    <w:p w:rsidR="008858EF" w:rsidRPr="007804AB" w:rsidRDefault="008858EF" w:rsidP="008858EF">
      <w:pPr>
        <w:autoSpaceDE w:val="0"/>
        <w:autoSpaceDN w:val="0"/>
        <w:adjustRightInd w:val="0"/>
        <w:rPr>
          <w:rFonts w:cstheme="minorHAnsi"/>
          <w:color w:val="000000"/>
        </w:rPr>
      </w:pPr>
      <w:r w:rsidRPr="007804AB">
        <w:rPr>
          <w:rFonts w:cstheme="minorHAnsi"/>
          <w:color w:val="000000"/>
        </w:rPr>
        <w:t>10, 10” squares solid color fabric</w:t>
      </w:r>
      <w:r>
        <w:rPr>
          <w:rFonts w:cstheme="minorHAnsi"/>
          <w:color w:val="000000"/>
        </w:rPr>
        <w:t xml:space="preserve"> (not batiks)</w:t>
      </w:r>
    </w:p>
    <w:p w:rsidR="008858EF" w:rsidRPr="007804AB" w:rsidRDefault="008858EF" w:rsidP="008858EF">
      <w:pPr>
        <w:autoSpaceDE w:val="0"/>
        <w:autoSpaceDN w:val="0"/>
        <w:adjustRightInd w:val="0"/>
        <w:rPr>
          <w:rFonts w:cstheme="minorHAnsi"/>
          <w:color w:val="000000"/>
        </w:rPr>
      </w:pPr>
      <w:r w:rsidRPr="007804AB">
        <w:rPr>
          <w:rFonts w:cstheme="minorHAnsi"/>
          <w:color w:val="000000"/>
        </w:rPr>
        <w:t>2, 10” square pieced blocks of any design</w:t>
      </w:r>
      <w:r>
        <w:rPr>
          <w:rFonts w:cstheme="minorHAnsi"/>
          <w:color w:val="000000"/>
        </w:rPr>
        <w:t>, or 2 more solid squares (not batiks)</w:t>
      </w:r>
    </w:p>
    <w:p w:rsidR="008858EF" w:rsidRDefault="008858EF" w:rsidP="008858EF">
      <w:pPr>
        <w:autoSpaceDE w:val="0"/>
        <w:autoSpaceDN w:val="0"/>
        <w:adjustRightInd w:val="0"/>
        <w:rPr>
          <w:rFonts w:cstheme="minorHAnsi"/>
          <w:color w:val="000000"/>
        </w:rPr>
      </w:pPr>
      <w:r w:rsidRPr="007804AB">
        <w:rPr>
          <w:rFonts w:cstheme="minorHAnsi"/>
          <w:color w:val="000000"/>
        </w:rPr>
        <w:t>6, 10” squares low loft cotton batting</w:t>
      </w:r>
    </w:p>
    <w:p w:rsidR="008858EF" w:rsidRDefault="008858EF" w:rsidP="008858EF">
      <w:pPr>
        <w:autoSpaceDE w:val="0"/>
        <w:autoSpaceDN w:val="0"/>
        <w:adjustRightInd w:val="0"/>
        <w:rPr>
          <w:rFonts w:cstheme="minorHAnsi"/>
          <w:color w:val="000000"/>
        </w:rPr>
      </w:pPr>
      <w:r>
        <w:rPr>
          <w:rFonts w:cstheme="minorHAnsi"/>
          <w:color w:val="000000"/>
        </w:rPr>
        <w:t xml:space="preserve">Sewing machine threads for quilting e.g., 50 </w:t>
      </w:r>
      <w:proofErr w:type="spellStart"/>
      <w:r>
        <w:rPr>
          <w:rFonts w:cstheme="minorHAnsi"/>
          <w:color w:val="000000"/>
        </w:rPr>
        <w:t>wt</w:t>
      </w:r>
      <w:proofErr w:type="spellEnd"/>
      <w:r>
        <w:rPr>
          <w:rFonts w:cstheme="minorHAnsi"/>
          <w:color w:val="000000"/>
        </w:rPr>
        <w:t xml:space="preserve"> or 60 wt. 2 ply cotton threads</w:t>
      </w:r>
    </w:p>
    <w:p w:rsidR="008858EF" w:rsidRPr="007804AB" w:rsidRDefault="008858EF" w:rsidP="008858EF">
      <w:pPr>
        <w:autoSpaceDE w:val="0"/>
        <w:autoSpaceDN w:val="0"/>
        <w:adjustRightInd w:val="0"/>
        <w:rPr>
          <w:rFonts w:cstheme="minorHAnsi"/>
          <w:color w:val="000000"/>
        </w:rPr>
      </w:pPr>
      <w:r>
        <w:rPr>
          <w:rFonts w:cstheme="minorHAnsi"/>
          <w:color w:val="000000"/>
        </w:rPr>
        <w:t xml:space="preserve">8wt. </w:t>
      </w:r>
      <w:proofErr w:type="spellStart"/>
      <w:r>
        <w:rPr>
          <w:rFonts w:cstheme="minorHAnsi"/>
          <w:color w:val="000000"/>
        </w:rPr>
        <w:t>perle</w:t>
      </w:r>
      <w:proofErr w:type="spellEnd"/>
      <w:r>
        <w:rPr>
          <w:rFonts w:cstheme="minorHAnsi"/>
          <w:color w:val="000000"/>
        </w:rPr>
        <w:t xml:space="preserve"> cotton/12 wt. thread for hand stitching</w:t>
      </w:r>
    </w:p>
    <w:p w:rsidR="008858EF" w:rsidRDefault="008858EF" w:rsidP="008858EF">
      <w:pPr>
        <w:autoSpaceDE w:val="0"/>
        <w:autoSpaceDN w:val="0"/>
        <w:adjustRightInd w:val="0"/>
        <w:rPr>
          <w:rFonts w:cstheme="minorHAnsi"/>
          <w:color w:val="000000"/>
        </w:rPr>
      </w:pPr>
    </w:p>
    <w:p w:rsidR="008858EF" w:rsidRPr="007804AB" w:rsidRDefault="008858EF" w:rsidP="008858EF">
      <w:pPr>
        <w:autoSpaceDE w:val="0"/>
        <w:autoSpaceDN w:val="0"/>
        <w:adjustRightInd w:val="0"/>
        <w:rPr>
          <w:rFonts w:cstheme="minorHAnsi"/>
          <w:color w:val="000000"/>
        </w:rPr>
      </w:pPr>
      <w:r>
        <w:rPr>
          <w:rFonts w:cstheme="minorHAnsi"/>
          <w:color w:val="000000"/>
        </w:rPr>
        <w:t>Equipment:</w:t>
      </w:r>
    </w:p>
    <w:p w:rsidR="008858EF" w:rsidRDefault="008858EF" w:rsidP="008858EF">
      <w:pPr>
        <w:autoSpaceDE w:val="0"/>
        <w:autoSpaceDN w:val="0"/>
        <w:adjustRightInd w:val="0"/>
        <w:rPr>
          <w:rFonts w:cstheme="minorHAnsi"/>
          <w:color w:val="000000"/>
        </w:rPr>
      </w:pPr>
      <w:r>
        <w:rPr>
          <w:rFonts w:cstheme="minorHAnsi"/>
          <w:color w:val="000000"/>
        </w:rPr>
        <w:t>Size 1 safety pins for basting quilt sandwiches</w:t>
      </w:r>
    </w:p>
    <w:p w:rsidR="008858EF" w:rsidRPr="007804AB" w:rsidRDefault="008858EF" w:rsidP="008858EF">
      <w:pPr>
        <w:autoSpaceDE w:val="0"/>
        <w:autoSpaceDN w:val="0"/>
        <w:adjustRightInd w:val="0"/>
        <w:rPr>
          <w:rFonts w:cstheme="minorHAnsi"/>
          <w:color w:val="000000"/>
        </w:rPr>
      </w:pPr>
      <w:r w:rsidRPr="007804AB">
        <w:rPr>
          <w:rFonts w:cstheme="minorHAnsi"/>
          <w:color w:val="000000"/>
        </w:rPr>
        <w:t>scissors</w:t>
      </w:r>
    </w:p>
    <w:p w:rsidR="008858EF" w:rsidRDefault="008858EF" w:rsidP="008858EF">
      <w:pPr>
        <w:autoSpaceDE w:val="0"/>
        <w:autoSpaceDN w:val="0"/>
        <w:adjustRightInd w:val="0"/>
        <w:rPr>
          <w:rFonts w:cstheme="minorHAnsi"/>
          <w:color w:val="000000"/>
        </w:rPr>
      </w:pPr>
      <w:r>
        <w:rPr>
          <w:rFonts w:cstheme="minorHAnsi"/>
          <w:color w:val="000000"/>
        </w:rPr>
        <w:t>chalk pencil</w:t>
      </w:r>
    </w:p>
    <w:p w:rsidR="008858EF" w:rsidRDefault="008858EF" w:rsidP="008858EF">
      <w:pPr>
        <w:autoSpaceDE w:val="0"/>
        <w:autoSpaceDN w:val="0"/>
        <w:adjustRightInd w:val="0"/>
        <w:rPr>
          <w:rFonts w:cstheme="minorHAnsi"/>
          <w:color w:val="000000"/>
        </w:rPr>
      </w:pPr>
      <w:r>
        <w:rPr>
          <w:rFonts w:cstheme="minorHAnsi"/>
          <w:color w:val="000000"/>
        </w:rPr>
        <w:t>ruler</w:t>
      </w:r>
    </w:p>
    <w:p w:rsidR="008858EF" w:rsidRDefault="008858EF" w:rsidP="008858EF">
      <w:pPr>
        <w:autoSpaceDE w:val="0"/>
        <w:autoSpaceDN w:val="0"/>
        <w:adjustRightInd w:val="0"/>
        <w:rPr>
          <w:rFonts w:cstheme="minorHAnsi"/>
          <w:color w:val="000000"/>
        </w:rPr>
      </w:pPr>
      <w:r>
        <w:rPr>
          <w:rFonts w:cstheme="minorHAnsi"/>
          <w:color w:val="000000"/>
        </w:rPr>
        <w:t>low-tac</w:t>
      </w:r>
      <w:r w:rsidRPr="007804AB">
        <w:rPr>
          <w:rFonts w:cstheme="minorHAnsi"/>
          <w:color w:val="000000"/>
        </w:rPr>
        <w:t xml:space="preserve"> painters</w:t>
      </w:r>
      <w:r>
        <w:rPr>
          <w:rFonts w:cstheme="minorHAnsi"/>
          <w:color w:val="000000"/>
        </w:rPr>
        <w:t>’</w:t>
      </w:r>
      <w:r w:rsidRPr="007804AB">
        <w:rPr>
          <w:rFonts w:cstheme="minorHAnsi"/>
          <w:color w:val="000000"/>
        </w:rPr>
        <w:t xml:space="preserve"> tape</w:t>
      </w:r>
    </w:p>
    <w:p w:rsidR="008858EF" w:rsidRDefault="008858EF" w:rsidP="008858EF">
      <w:pPr>
        <w:autoSpaceDE w:val="0"/>
        <w:autoSpaceDN w:val="0"/>
        <w:adjustRightInd w:val="0"/>
        <w:rPr>
          <w:rFonts w:cstheme="minorHAnsi"/>
          <w:color w:val="000000"/>
        </w:rPr>
      </w:pPr>
      <w:r>
        <w:rPr>
          <w:rFonts w:cstheme="minorHAnsi"/>
          <w:color w:val="000000"/>
        </w:rPr>
        <w:t>Size 80 sharp machine needle</w:t>
      </w:r>
    </w:p>
    <w:p w:rsidR="008858EF" w:rsidRPr="007804AB" w:rsidRDefault="008858EF" w:rsidP="008858EF">
      <w:pPr>
        <w:autoSpaceDE w:val="0"/>
        <w:autoSpaceDN w:val="0"/>
        <w:adjustRightInd w:val="0"/>
        <w:rPr>
          <w:rFonts w:cstheme="minorHAnsi"/>
          <w:color w:val="000000"/>
        </w:rPr>
      </w:pPr>
      <w:r>
        <w:rPr>
          <w:rFonts w:cstheme="minorHAnsi"/>
          <w:color w:val="000000"/>
        </w:rPr>
        <w:t xml:space="preserve">#24 chenille hand sewing needle </w:t>
      </w:r>
    </w:p>
    <w:p w:rsidR="008858EF" w:rsidRDefault="008858EF" w:rsidP="008858EF">
      <w:pPr>
        <w:autoSpaceDE w:val="0"/>
        <w:autoSpaceDN w:val="0"/>
        <w:adjustRightInd w:val="0"/>
        <w:rPr>
          <w:rFonts w:cstheme="minorHAnsi"/>
          <w:color w:val="000000"/>
        </w:rPr>
      </w:pPr>
      <w:r w:rsidRPr="007804AB">
        <w:rPr>
          <w:rFonts w:cstheme="minorHAnsi"/>
          <w:color w:val="000000"/>
        </w:rPr>
        <w:t>paper and pen for notes</w:t>
      </w:r>
    </w:p>
    <w:p w:rsidR="008858EF" w:rsidRDefault="008858EF" w:rsidP="008858EF">
      <w:pPr>
        <w:autoSpaceDE w:val="0"/>
        <w:autoSpaceDN w:val="0"/>
        <w:adjustRightInd w:val="0"/>
        <w:rPr>
          <w:rFonts w:cstheme="minorHAnsi"/>
          <w:color w:val="000000"/>
        </w:rPr>
      </w:pPr>
    </w:p>
    <w:p w:rsidR="008858EF" w:rsidRDefault="008858EF" w:rsidP="008858EF">
      <w:pPr>
        <w:autoSpaceDE w:val="0"/>
        <w:autoSpaceDN w:val="0"/>
        <w:adjustRightInd w:val="0"/>
        <w:rPr>
          <w:rFonts w:cstheme="minorHAnsi"/>
          <w:color w:val="000000"/>
        </w:rPr>
      </w:pPr>
      <w:r>
        <w:rPr>
          <w:rFonts w:cstheme="minorHAnsi"/>
          <w:color w:val="000000"/>
        </w:rPr>
        <w:t>Sewing machine required with either a Walking Foot or Dual feed System. I recommend an open toed sole plate for maximum visibility. If your machine comes with a hands-free system (knee lift) make sure to have it available, even if you don’t normally use it. Remember to bring your user’s manual.</w:t>
      </w:r>
    </w:p>
    <w:p w:rsidR="002D41B2" w:rsidRDefault="002D41B2" w:rsidP="008858EF">
      <w:pPr>
        <w:autoSpaceDE w:val="0"/>
        <w:autoSpaceDN w:val="0"/>
        <w:adjustRightInd w:val="0"/>
        <w:rPr>
          <w:rFonts w:cstheme="minorHAnsi"/>
          <w:color w:val="000000"/>
        </w:rPr>
      </w:pPr>
    </w:p>
    <w:p w:rsidR="002D41B2" w:rsidRDefault="002D41B2" w:rsidP="008858EF">
      <w:pPr>
        <w:autoSpaceDE w:val="0"/>
        <w:autoSpaceDN w:val="0"/>
        <w:adjustRightInd w:val="0"/>
        <w:rPr>
          <w:rFonts w:cstheme="minorHAnsi"/>
          <w:color w:val="000000"/>
        </w:rPr>
      </w:pPr>
    </w:p>
    <w:p w:rsidR="002D41B2" w:rsidRDefault="002D41B2" w:rsidP="008858EF">
      <w:pPr>
        <w:autoSpaceDE w:val="0"/>
        <w:autoSpaceDN w:val="0"/>
        <w:adjustRightInd w:val="0"/>
        <w:rPr>
          <w:rFonts w:cstheme="minorHAnsi"/>
          <w:color w:val="000000"/>
        </w:rPr>
      </w:pPr>
    </w:p>
    <w:p w:rsidR="00914099" w:rsidRDefault="00914099"/>
    <w:sectPr w:rsidR="00914099" w:rsidSect="00DA6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EF"/>
    <w:rsid w:val="002D41B2"/>
    <w:rsid w:val="008858EF"/>
    <w:rsid w:val="00914099"/>
    <w:rsid w:val="00DA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776B7"/>
  <w15:chartTrackingRefBased/>
  <w15:docId w15:val="{502A119E-5BB1-5E42-9F38-7CF653FC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8EF"/>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Redford</dc:creator>
  <cp:keywords/>
  <dc:description/>
  <cp:lastModifiedBy>Catherine Redford</cp:lastModifiedBy>
  <cp:revision>3</cp:revision>
  <cp:lastPrinted>2024-01-08T15:08:00Z</cp:lastPrinted>
  <dcterms:created xsi:type="dcterms:W3CDTF">2024-01-08T15:08:00Z</dcterms:created>
  <dcterms:modified xsi:type="dcterms:W3CDTF">2024-01-08T15:09:00Z</dcterms:modified>
</cp:coreProperties>
</file>